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DC" w:rsidRPr="00C87BDC" w:rsidRDefault="00C87BDC" w:rsidP="00C87B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87BDC">
        <w:rPr>
          <w:rFonts w:ascii="Times New Roman" w:eastAsia="Times New Roman" w:hAnsi="Times New Roman" w:cs="Times New Roman"/>
          <w:b/>
          <w:bCs/>
          <w:sz w:val="36"/>
          <w:szCs w:val="36"/>
        </w:rPr>
        <w:t>IRCTC Agent Commission Chart 2026:</w:t>
      </w:r>
    </w:p>
    <w:p w:rsidR="00C87BDC" w:rsidRPr="00C87BDC" w:rsidRDefault="00C87BDC" w:rsidP="00C87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7BDC">
        <w:rPr>
          <w:rFonts w:ascii="Times New Roman" w:eastAsia="Times New Roman" w:hAnsi="Times New Roman" w:cs="Times New Roman"/>
          <w:sz w:val="24"/>
          <w:szCs w:val="24"/>
        </w:rPr>
        <w:t>Here’s a clear and organized commission chart for IRCTC agents in 2026: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07"/>
        <w:gridCol w:w="2419"/>
        <w:gridCol w:w="4724"/>
      </w:tblGrid>
      <w:tr w:rsidR="00C87BDC" w:rsidRPr="00C87BDC" w:rsidTr="00C87BD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Ticket Type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Commission per PNR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Additional Details</w:t>
            </w:r>
          </w:p>
        </w:tc>
      </w:tr>
      <w:tr w:rsidR="00C87BDC" w:rsidRPr="00C87BDC" w:rsidTr="00C87B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AC Class Tickets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₹40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Includes 1st AC, 2nd AC, 3rd AC, and AC Chair Car</w:t>
            </w:r>
          </w:p>
        </w:tc>
      </w:tr>
      <w:tr w:rsidR="00C87BDC" w:rsidRPr="00C87BDC" w:rsidTr="00C87B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Non-AC Class Tickets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₹20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Includes Sleeper Class and General Class</w:t>
            </w:r>
          </w:p>
        </w:tc>
      </w:tr>
      <w:tr w:rsidR="00C87BDC" w:rsidRPr="00C87BDC" w:rsidTr="00C87B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Tatkal Tickets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₹20 (Non-AC) / ₹40 (AC)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Commission remains the same as regular tickets</w:t>
            </w:r>
          </w:p>
        </w:tc>
      </w:tr>
      <w:tr w:rsidR="00C87BDC" w:rsidRPr="00C87BDC" w:rsidTr="00C87B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Premium Tatkal Tickets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₹20 (Non-AC) / ₹40 (AC)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Same commission structure as regular Tatkal</w:t>
            </w:r>
          </w:p>
        </w:tc>
      </w:tr>
      <w:tr w:rsidR="00C87BDC" w:rsidRPr="00C87BDC" w:rsidTr="00C87BD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Special Tourist Packages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Varies</w:t>
            </w:r>
          </w:p>
        </w:tc>
        <w:tc>
          <w:tcPr>
            <w:tcW w:w="0" w:type="auto"/>
            <w:vAlign w:val="center"/>
            <w:hideMark/>
          </w:tcPr>
          <w:p w:rsidR="00C87BDC" w:rsidRPr="00C87BDC" w:rsidRDefault="00C87BDC" w:rsidP="00C8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BDC">
              <w:rPr>
                <w:rFonts w:ascii="Times New Roman" w:eastAsia="Times New Roman" w:hAnsi="Times New Roman" w:cs="Times New Roman"/>
                <w:sz w:val="24"/>
                <w:szCs w:val="24"/>
              </w:rPr>
              <w:t>Depends on the specific package and agreement</w:t>
            </w:r>
          </w:p>
        </w:tc>
      </w:tr>
    </w:tbl>
    <w:p w:rsidR="002512FE" w:rsidRPr="00C87BDC" w:rsidRDefault="002512FE" w:rsidP="00C87BDC"/>
    <w:sectPr w:rsidR="002512FE" w:rsidRPr="00C87BDC" w:rsidSect="00251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C87BDC"/>
    <w:rsid w:val="002512FE"/>
    <w:rsid w:val="00C87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2FE"/>
  </w:style>
  <w:style w:type="paragraph" w:styleId="Heading2">
    <w:name w:val="heading 2"/>
    <w:basedOn w:val="Normal"/>
    <w:link w:val="Heading2Char"/>
    <w:uiPriority w:val="9"/>
    <w:qFormat/>
    <w:rsid w:val="00C87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7BD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87BD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7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4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2026-09-29T11:35:00Z</dcterms:created>
  <dcterms:modified xsi:type="dcterms:W3CDTF">2026-09-29T11:35:00Z</dcterms:modified>
</cp:coreProperties>
</file>